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B41F" w14:textId="5A9BCB67" w:rsidR="00952524" w:rsidRDefault="00952524">
      <w:pPr>
        <w:pStyle w:val="BodyText"/>
        <w:spacing w:before="265"/>
        <w:rPr>
          <w:rFonts w:ascii="Times New Roman"/>
          <w:sz w:val="40"/>
        </w:rPr>
      </w:pPr>
      <w:r w:rsidRPr="0082442B">
        <w:rPr>
          <w:noProof/>
          <w:sz w:val="32"/>
          <w:szCs w:val="32"/>
        </w:rPr>
        <w:drawing>
          <wp:anchor distT="0" distB="0" distL="0" distR="0" simplePos="0" relativeHeight="251655680" behindDoc="1" locked="0" layoutInCell="1" allowOverlap="1" wp14:anchorId="5AC67E7E" wp14:editId="01B0E2BD">
            <wp:simplePos x="0" y="0"/>
            <wp:positionH relativeFrom="page">
              <wp:posOffset>638175</wp:posOffset>
            </wp:positionH>
            <wp:positionV relativeFrom="paragraph">
              <wp:posOffset>174625</wp:posOffset>
            </wp:positionV>
            <wp:extent cx="1238250" cy="14287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B8C53" w14:textId="36E6547E" w:rsidR="00952524" w:rsidRDefault="00952524" w:rsidP="00790497">
      <w:pPr>
        <w:pStyle w:val="BodyText"/>
        <w:spacing w:before="265"/>
        <w:ind w:firstLine="720"/>
        <w:rPr>
          <w:rFonts w:ascii="Times New Roman"/>
          <w:sz w:val="40"/>
        </w:rPr>
      </w:pPr>
    </w:p>
    <w:p w14:paraId="5AC67E53" w14:textId="07A7BF59" w:rsidR="00330EC3" w:rsidRDefault="00952524" w:rsidP="00952524">
      <w:pPr>
        <w:pStyle w:val="BodyText"/>
        <w:spacing w:before="265"/>
        <w:ind w:left="2880" w:firstLine="720"/>
        <w:rPr>
          <w:spacing w:val="-2"/>
          <w:w w:val="110"/>
          <w:sz w:val="32"/>
          <w:szCs w:val="32"/>
        </w:rPr>
      </w:pPr>
      <w:r w:rsidRPr="0082442B">
        <w:rPr>
          <w:spacing w:val="-2"/>
          <w:w w:val="110"/>
          <w:sz w:val="32"/>
          <w:szCs w:val="32"/>
        </w:rPr>
        <w:t>RULE</w:t>
      </w:r>
      <w:r w:rsidRPr="0082442B">
        <w:rPr>
          <w:spacing w:val="-23"/>
          <w:w w:val="110"/>
          <w:sz w:val="32"/>
          <w:szCs w:val="32"/>
        </w:rPr>
        <w:t xml:space="preserve"> </w:t>
      </w:r>
      <w:r w:rsidRPr="0082442B">
        <w:rPr>
          <w:spacing w:val="-2"/>
          <w:w w:val="110"/>
          <w:sz w:val="32"/>
          <w:szCs w:val="32"/>
        </w:rPr>
        <w:t xml:space="preserve">CHANGE 19/3/26 – Effective </w:t>
      </w:r>
      <w:r w:rsidR="00790497" w:rsidRPr="0082442B">
        <w:rPr>
          <w:spacing w:val="-2"/>
          <w:w w:val="110"/>
          <w:sz w:val="32"/>
          <w:szCs w:val="32"/>
        </w:rPr>
        <w:t>Immediat</w:t>
      </w:r>
      <w:r w:rsidR="00790497">
        <w:rPr>
          <w:spacing w:val="-2"/>
          <w:w w:val="110"/>
          <w:sz w:val="32"/>
          <w:szCs w:val="32"/>
        </w:rPr>
        <w:t>ely</w:t>
      </w:r>
    </w:p>
    <w:p w14:paraId="2C9813E8" w14:textId="77777777" w:rsidR="00790497" w:rsidRDefault="00790497" w:rsidP="00952524">
      <w:pPr>
        <w:pStyle w:val="BodyText"/>
        <w:spacing w:before="265"/>
        <w:ind w:left="2880" w:firstLine="720"/>
        <w:rPr>
          <w:rFonts w:ascii="Times New Roman"/>
          <w:sz w:val="40"/>
        </w:rPr>
      </w:pPr>
    </w:p>
    <w:p w14:paraId="5AC67E59" w14:textId="486CBABB" w:rsidR="00330EC3" w:rsidRPr="00593EF2" w:rsidRDefault="00FF1297" w:rsidP="00790497">
      <w:pPr>
        <w:pStyle w:val="Heading1"/>
        <w:spacing w:line="436" w:lineRule="auto"/>
        <w:rPr>
          <w:sz w:val="32"/>
          <w:szCs w:val="32"/>
        </w:rPr>
        <w:sectPr w:rsidR="00330EC3" w:rsidRPr="00593EF2">
          <w:type w:val="continuous"/>
          <w:pgSz w:w="11910" w:h="16840"/>
          <w:pgMar w:top="700" w:right="425" w:bottom="280" w:left="708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AC67E80" wp14:editId="45994E66">
                <wp:simplePos x="0" y="0"/>
                <wp:positionH relativeFrom="page">
                  <wp:posOffset>390525</wp:posOffset>
                </wp:positionH>
                <wp:positionV relativeFrom="paragraph">
                  <wp:posOffset>196215</wp:posOffset>
                </wp:positionV>
                <wp:extent cx="6877050" cy="7720965"/>
                <wp:effectExtent l="0" t="0" r="19050" b="1333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7050" cy="77209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D31836" w14:textId="77668CB1" w:rsidR="008A1537" w:rsidRDefault="008A1537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  <w:p w14:paraId="3AE3E12F" w14:textId="1DDC291F" w:rsidR="008A1537" w:rsidRPr="00C00122" w:rsidRDefault="008A1537" w:rsidP="00C00122">
                            <w:pPr>
                              <w:tabs>
                                <w:tab w:val="left" w:pos="10551"/>
                              </w:tabs>
                              <w:spacing w:before="215"/>
                              <w:ind w:left="7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006FC0"/>
                              </w:rPr>
                              <w:t xml:space="preserve">      </w:t>
                            </w:r>
                            <w:r w:rsidR="00F53904">
                              <w:rPr>
                                <w:b/>
                                <w:color w:val="FFFFFF"/>
                                <w:sz w:val="28"/>
                                <w:shd w:val="clear" w:color="auto" w:fill="006FC0"/>
                              </w:rPr>
                              <w:t>General Rules</w:t>
                            </w:r>
                            <w:r w:rsidR="00FF1297">
                              <w:rPr>
                                <w:b/>
                                <w:color w:val="FFFFFF"/>
                                <w:sz w:val="28"/>
                                <w:shd w:val="clear" w:color="auto" w:fill="006FC0"/>
                              </w:rPr>
                              <w:tab/>
                            </w:r>
                          </w:p>
                          <w:p w14:paraId="6CA4CE57" w14:textId="77777777" w:rsidR="0082442B" w:rsidRDefault="0082442B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  <w:p w14:paraId="5342A655" w14:textId="77777777" w:rsidR="008A1537" w:rsidRDefault="008A1537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THE HUNDRED POINT AWARD</w:t>
                            </w:r>
                          </w:p>
                          <w:p w14:paraId="3EF3F80D" w14:textId="4FA69617" w:rsidR="008A1537" w:rsidRDefault="008A1537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The Hundred Point Award is attained by any Horse/Rider Combination who earns 100 competition points in </w:t>
                            </w:r>
                            <w:r w:rsidR="00CF37A5">
                              <w:rPr>
                                <w:rFonts w:eastAsia="Times New Roman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the disciplines of Dressage, Combined Training, Showjumping, 3 Phase Equitation and Navigation Rides.</w:t>
                            </w:r>
                          </w:p>
                          <w:p w14:paraId="34E2C3BD" w14:textId="77777777" w:rsidR="00DE4AA1" w:rsidRDefault="00DE4AA1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  <w:p w14:paraId="307FD727" w14:textId="43768540" w:rsidR="008A1537" w:rsidRDefault="008A1537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In Showing only, the Horse/Rider Combination must earn 300 competition points to be eligible for the Award.</w:t>
                            </w:r>
                          </w:p>
                          <w:p w14:paraId="73B009D7" w14:textId="77777777" w:rsidR="00DE4AA1" w:rsidRDefault="00DE4AA1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  <w:p w14:paraId="336DB122" w14:textId="40B826A9" w:rsidR="008A1537" w:rsidRDefault="008A1537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In Horse Trials only, the Horse/Rider Combination must earn 50 competition points to be eligible for the Award.</w:t>
                            </w:r>
                          </w:p>
                          <w:p w14:paraId="12314783" w14:textId="09816EA5" w:rsidR="008A1537" w:rsidRPr="0082442B" w:rsidRDefault="008A1537" w:rsidP="0082442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1440"/>
                              </w:tabs>
                              <w:autoSpaceDE/>
                              <w:autoSpaceDN/>
                              <w:spacing w:before="100" w:beforeAutospacing="1" w:after="100" w:afterAutospacing="1"/>
                              <w:ind w:left="1440" w:hanging="589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Points are Performance points gained for placing at Official HRCAV Events and DO NOT include </w:t>
                            </w:r>
                            <w:r w:rsidR="008F1514">
                              <w:rPr>
                                <w:rFonts w:eastAsia="Times New Roman"/>
                                <w:color w:val="000000"/>
                              </w:rPr>
                              <w:t xml:space="preserve">       </w:t>
                            </w:r>
                            <w:r w:rsidRPr="0082442B">
                              <w:rPr>
                                <w:rFonts w:eastAsia="Times New Roman"/>
                                <w:color w:val="000000"/>
                              </w:rPr>
                              <w:t>points “assumed” when a Combination is Level Assessed.</w:t>
                            </w:r>
                          </w:p>
                          <w:p w14:paraId="07911E1F" w14:textId="77777777" w:rsidR="008A1537" w:rsidRDefault="008A1537" w:rsidP="0082442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1440"/>
                              </w:tabs>
                              <w:autoSpaceDE/>
                              <w:autoSpaceDN/>
                              <w:spacing w:before="100" w:beforeAutospacing="1" w:after="100" w:afterAutospacing="1"/>
                              <w:ind w:left="1440" w:hanging="589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Members who have achieved the required points to qualify for the Award shall be identified by the HRCAV.</w:t>
                            </w:r>
                          </w:p>
                          <w:p w14:paraId="653D4135" w14:textId="79F7115F" w:rsidR="008A1537" w:rsidRDefault="008A1537" w:rsidP="0082442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1440"/>
                              </w:tabs>
                              <w:autoSpaceDE/>
                              <w:autoSpaceDN/>
                              <w:spacing w:before="100" w:beforeAutospacing="1" w:after="100" w:afterAutospacing="1"/>
                              <w:ind w:left="1440" w:hanging="589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The HRCAV Executive Committee will ratify the attainment of the Award and advise the Awardee in writing, including arrangements for presentation of the Award. A copy of the letter shall be </w:t>
                            </w:r>
                            <w:r w:rsidR="008F1514">
                              <w:rPr>
                                <w:rFonts w:eastAsia="Times New Roman"/>
                                <w:color w:val="000000"/>
                              </w:rPr>
                              <w:t xml:space="preserve">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forwarded to the winner’s Club Secretary.</w:t>
                            </w:r>
                          </w:p>
                          <w:p w14:paraId="79FB8610" w14:textId="6CE429CC" w:rsidR="008A1537" w:rsidRDefault="008A1537" w:rsidP="0082442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1440"/>
                              </w:tabs>
                              <w:autoSpaceDE/>
                              <w:autoSpaceDN/>
                              <w:spacing w:before="100" w:beforeAutospacing="1" w:after="100" w:afterAutospacing="1"/>
                              <w:ind w:left="1440" w:hanging="589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The Trophy for this Award will be to a value as determined by the Executive Committee and </w:t>
                            </w:r>
                            <w:r w:rsidR="008F1514">
                              <w:rPr>
                                <w:rFonts w:eastAsia="Times New Roman"/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engraved as appropriate.</w:t>
                            </w:r>
                          </w:p>
                          <w:p w14:paraId="4152FEA9" w14:textId="66FDE209" w:rsidR="008A1537" w:rsidRDefault="008A1537" w:rsidP="00952524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1440"/>
                              </w:tabs>
                              <w:autoSpaceDE/>
                              <w:autoSpaceDN/>
                              <w:spacing w:before="100" w:beforeAutospacing="1" w:after="100" w:afterAutospacing="1"/>
                              <w:ind w:left="1440" w:hanging="589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Special Achievement Awards </w:t>
                            </w:r>
                            <w:r w:rsidR="007940A3">
                              <w:rPr>
                                <w:rFonts w:eastAsia="Times New Roman"/>
                                <w:color w:val="000000"/>
                              </w:rPr>
                              <w:t>recognizing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horse and rider combinations which fail to reach the</w:t>
                            </w:r>
                            <w:r w:rsidR="008F1514">
                              <w:rPr>
                                <w:rFonts w:eastAsia="Times New Roman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required number of points due to unforeseen and tragic circumstances may be made under this category. There must be a reasonable expectation that achievement of the required number of </w:t>
                            </w:r>
                            <w:r w:rsidR="008F1514">
                              <w:rPr>
                                <w:rFonts w:eastAsia="Times New Roman"/>
                                <w:color w:val="000000"/>
                              </w:rPr>
                              <w:t xml:space="preserve">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points was imminent.</w:t>
                            </w:r>
                          </w:p>
                          <w:p w14:paraId="28007422" w14:textId="77777777" w:rsidR="008A1537" w:rsidRDefault="008A1537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Rationale: Administrative – parts of current rule requirements outdated</w:t>
                            </w:r>
                          </w:p>
                          <w:p w14:paraId="583761A4" w14:textId="77777777" w:rsidR="00D24F25" w:rsidRDefault="00D24F25" w:rsidP="008A1537">
                            <w:pPr>
                              <w:ind w:left="720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47414EB" w14:textId="406BCEA9" w:rsidR="008A1537" w:rsidRPr="00F53904" w:rsidRDefault="00F53904" w:rsidP="00F53904">
                            <w:pPr>
                              <w:tabs>
                                <w:tab w:val="left" w:pos="10551"/>
                              </w:tabs>
                              <w:spacing w:before="215"/>
                              <w:ind w:left="7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006FC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006FC0"/>
                              </w:rPr>
                              <w:t>Event Rules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hd w:val="clear" w:color="auto" w:fill="006FC0"/>
                              </w:rPr>
                              <w:tab/>
                            </w:r>
                          </w:p>
                          <w:p w14:paraId="0C1566E0" w14:textId="77777777" w:rsidR="00D24F25" w:rsidRDefault="00D24F25" w:rsidP="008A1537">
                            <w:pPr>
                              <w:ind w:left="720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45349AB" w14:textId="5FA9B1C3" w:rsidR="008A1537" w:rsidRDefault="008A1537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Delete Rule 37.8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(d)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6F7D83F5" w14:textId="77777777" w:rsidR="007940A3" w:rsidRDefault="007940A3" w:rsidP="008A1537">
                            <w:pPr>
                              <w:ind w:left="720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A3E1E34" w14:textId="1DF8DE86" w:rsidR="008A1537" w:rsidRDefault="008A1537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Add New Rule 37.8.1</w:t>
                            </w:r>
                          </w:p>
                          <w:p w14:paraId="6C199F1C" w14:textId="1C546F14" w:rsidR="008A1537" w:rsidRDefault="008A1537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If a vet is present at an event, the ground jury may request a spot vet check at any time before, during or </w:t>
                            </w:r>
                            <w:r w:rsidR="008F1514">
                              <w:rPr>
                                <w:rFonts w:eastAsia="Times New Roman"/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after a combination has taken part in the event.</w:t>
                            </w:r>
                          </w:p>
                          <w:p w14:paraId="2DF9D66E" w14:textId="77777777" w:rsidR="008A1537" w:rsidRDefault="008A1537" w:rsidP="008A1537">
                            <w:pPr>
                              <w:ind w:left="720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Rationale: Welfare/Clarification</w:t>
                            </w:r>
                          </w:p>
                          <w:p w14:paraId="0E77656A" w14:textId="77777777" w:rsidR="008A1537" w:rsidRDefault="008A1537" w:rsidP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10103711" w14:textId="77777777" w:rsidR="008A1537" w:rsidRDefault="008A1537" w:rsidP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50BEF195" w14:textId="77777777" w:rsidR="008A1537" w:rsidRDefault="008A1537" w:rsidP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5C854D81" w14:textId="77777777" w:rsidR="008A1537" w:rsidRDefault="008A1537" w:rsidP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42A142D9" w14:textId="77777777" w:rsidR="008A1537" w:rsidRDefault="008A1537" w:rsidP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5581BDE0" w14:textId="77777777" w:rsidR="008A1537" w:rsidRDefault="008A1537" w:rsidP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4DA4AEDE" w14:textId="77777777" w:rsidR="008A1537" w:rsidRDefault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302E100C" w14:textId="77777777" w:rsidR="008A1537" w:rsidRDefault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62C30BA9" w14:textId="77777777" w:rsidR="008A1537" w:rsidRDefault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670F0FFA" w14:textId="77777777" w:rsidR="008A1537" w:rsidRDefault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3185D5CA" w14:textId="77777777" w:rsidR="008A1537" w:rsidRDefault="008A1537">
                            <w:pPr>
                              <w:spacing w:before="79"/>
                              <w:ind w:left="103"/>
                              <w:rPr>
                                <w:b/>
                                <w:w w:val="10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67E8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0.75pt;margin-top:15.45pt;width:541.5pt;height:607.9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" filled="f" strokeweight=".5pt">
                <v:path arrowok="t"/>
                <v:textbox inset="0,0,0,0">
                  <w:txbxContent>
                    <w:p w14:paraId="7AD31836" w14:textId="77668CB1" w:rsidR="008A1537" w:rsidRDefault="008A1537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</w:p>
                    <w:p w14:paraId="3AE3E12F" w14:textId="1DDC291F" w:rsidR="008A1537" w:rsidRPr="00C00122" w:rsidRDefault="008A1537" w:rsidP="00C00122">
                      <w:pPr>
                        <w:tabs>
                          <w:tab w:val="left" w:pos="10551"/>
                        </w:tabs>
                        <w:spacing w:before="215"/>
                        <w:ind w:left="7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hd w:val="clear" w:color="auto" w:fill="006FC0"/>
                        </w:rPr>
                        <w:t xml:space="preserve">      </w:t>
                      </w:r>
                      <w:r w:rsidR="00F53904">
                        <w:rPr>
                          <w:b/>
                          <w:color w:val="FFFFFF"/>
                          <w:sz w:val="28"/>
                          <w:shd w:val="clear" w:color="auto" w:fill="006FC0"/>
                        </w:rPr>
                        <w:t>General Rules</w:t>
                      </w:r>
                      <w:r w:rsidR="00FF1297">
                        <w:rPr>
                          <w:b/>
                          <w:color w:val="FFFFFF"/>
                          <w:sz w:val="28"/>
                          <w:shd w:val="clear" w:color="auto" w:fill="006FC0"/>
                        </w:rPr>
                        <w:tab/>
                      </w:r>
                    </w:p>
                    <w:p w14:paraId="6CA4CE57" w14:textId="77777777" w:rsidR="0082442B" w:rsidRDefault="0082442B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</w:p>
                    <w:p w14:paraId="5342A655" w14:textId="77777777" w:rsidR="008A1537" w:rsidRDefault="008A1537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THE HUNDRED POINT AWARD</w:t>
                      </w:r>
                    </w:p>
                    <w:p w14:paraId="3EF3F80D" w14:textId="4FA69617" w:rsidR="008A1537" w:rsidRDefault="008A1537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 xml:space="preserve">The Hundred Point Award is attained by any Horse/Rider Combination who earns 100 competition points in </w:t>
                      </w:r>
                      <w:r w:rsidR="00CF37A5">
                        <w:rPr>
                          <w:rFonts w:eastAsia="Times New Roman"/>
                          <w:color w:val="000000"/>
                        </w:rPr>
                        <w:t xml:space="preserve">    </w:t>
                      </w:r>
                      <w:r>
                        <w:rPr>
                          <w:rFonts w:eastAsia="Times New Roman"/>
                          <w:color w:val="000000"/>
                        </w:rPr>
                        <w:t>the disciplines of Dressage, Combined Training, Showjumping, 3 Phase Equitation and Navigation Rides.</w:t>
                      </w:r>
                    </w:p>
                    <w:p w14:paraId="34E2C3BD" w14:textId="77777777" w:rsidR="00DE4AA1" w:rsidRDefault="00DE4AA1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</w:p>
                    <w:p w14:paraId="307FD727" w14:textId="43768540" w:rsidR="008A1537" w:rsidRDefault="008A1537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In Showing only, the Horse/Rider Combination must earn 300 competition points to be eligible for the Award.</w:t>
                      </w:r>
                    </w:p>
                    <w:p w14:paraId="73B009D7" w14:textId="77777777" w:rsidR="00DE4AA1" w:rsidRDefault="00DE4AA1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</w:p>
                    <w:p w14:paraId="336DB122" w14:textId="40B826A9" w:rsidR="008A1537" w:rsidRDefault="008A1537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In Horse Trials only, the Horse/Rider Combination must earn 50 competition points to be eligible for the Award.</w:t>
                      </w:r>
                    </w:p>
                    <w:p w14:paraId="12314783" w14:textId="09816EA5" w:rsidR="008A1537" w:rsidRPr="0082442B" w:rsidRDefault="008A1537" w:rsidP="0082442B">
                      <w:pPr>
                        <w:widowControl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1440"/>
                        </w:tabs>
                        <w:autoSpaceDE/>
                        <w:autoSpaceDN/>
                        <w:spacing w:before="100" w:beforeAutospacing="1" w:after="100" w:afterAutospacing="1"/>
                        <w:ind w:left="1440" w:hanging="589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 xml:space="preserve">Points are Performance points gained for placing at Official HRCAV Events and DO NOT include </w:t>
                      </w:r>
                      <w:r w:rsidR="008F1514">
                        <w:rPr>
                          <w:rFonts w:eastAsia="Times New Roman"/>
                          <w:color w:val="000000"/>
                        </w:rPr>
                        <w:t xml:space="preserve">       </w:t>
                      </w:r>
                      <w:r w:rsidRPr="0082442B">
                        <w:rPr>
                          <w:rFonts w:eastAsia="Times New Roman"/>
                          <w:color w:val="000000"/>
                        </w:rPr>
                        <w:t>points “assumed” when a Combination is Level Assessed.</w:t>
                      </w:r>
                    </w:p>
                    <w:p w14:paraId="07911E1F" w14:textId="77777777" w:rsidR="008A1537" w:rsidRDefault="008A1537" w:rsidP="0082442B">
                      <w:pPr>
                        <w:widowControl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1440"/>
                        </w:tabs>
                        <w:autoSpaceDE/>
                        <w:autoSpaceDN/>
                        <w:spacing w:before="100" w:beforeAutospacing="1" w:after="100" w:afterAutospacing="1"/>
                        <w:ind w:left="1440" w:hanging="589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Members who have achieved the required points to qualify for the Award shall be identified by the HRCAV.</w:t>
                      </w:r>
                    </w:p>
                    <w:p w14:paraId="653D4135" w14:textId="79F7115F" w:rsidR="008A1537" w:rsidRDefault="008A1537" w:rsidP="0082442B">
                      <w:pPr>
                        <w:widowControl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1440"/>
                        </w:tabs>
                        <w:autoSpaceDE/>
                        <w:autoSpaceDN/>
                        <w:spacing w:before="100" w:beforeAutospacing="1" w:after="100" w:afterAutospacing="1"/>
                        <w:ind w:left="1440" w:hanging="589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 xml:space="preserve">The HRCAV Executive Committee will ratify the attainment of the Award and advise the Awardee in writing, including arrangements for presentation of the Award. A copy of the letter shall be </w:t>
                      </w:r>
                      <w:r w:rsidR="008F1514">
                        <w:rPr>
                          <w:rFonts w:eastAsia="Times New Roman"/>
                          <w:color w:val="000000"/>
                        </w:rPr>
                        <w:t xml:space="preserve">      </w:t>
                      </w:r>
                      <w:r>
                        <w:rPr>
                          <w:rFonts w:eastAsia="Times New Roman"/>
                          <w:color w:val="000000"/>
                        </w:rPr>
                        <w:t>forwarded to the winner’s Club Secretary.</w:t>
                      </w:r>
                    </w:p>
                    <w:p w14:paraId="79FB8610" w14:textId="6CE429CC" w:rsidR="008A1537" w:rsidRDefault="008A1537" w:rsidP="0082442B">
                      <w:pPr>
                        <w:widowControl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1440"/>
                        </w:tabs>
                        <w:autoSpaceDE/>
                        <w:autoSpaceDN/>
                        <w:spacing w:before="100" w:beforeAutospacing="1" w:after="100" w:afterAutospacing="1"/>
                        <w:ind w:left="1440" w:hanging="589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 xml:space="preserve">The Trophy for this Award will be to a value as determined by the Executive Committee and </w:t>
                      </w:r>
                      <w:r w:rsidR="008F1514">
                        <w:rPr>
                          <w:rFonts w:eastAsia="Times New Roman"/>
                          <w:color w:val="000000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</w:rPr>
                        <w:t>engraved as appropriate.</w:t>
                      </w:r>
                    </w:p>
                    <w:p w14:paraId="4152FEA9" w14:textId="66FDE209" w:rsidR="008A1537" w:rsidRDefault="008A1537" w:rsidP="00952524">
                      <w:pPr>
                        <w:widowControl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1440"/>
                        </w:tabs>
                        <w:autoSpaceDE/>
                        <w:autoSpaceDN/>
                        <w:spacing w:before="100" w:beforeAutospacing="1" w:after="100" w:afterAutospacing="1"/>
                        <w:ind w:left="1440" w:hanging="589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 xml:space="preserve">Special Achievement Awards </w:t>
                      </w:r>
                      <w:r w:rsidR="007940A3">
                        <w:rPr>
                          <w:rFonts w:eastAsia="Times New Roman"/>
                          <w:color w:val="000000"/>
                        </w:rPr>
                        <w:t>recognizing</w:t>
                      </w:r>
                      <w:r>
                        <w:rPr>
                          <w:rFonts w:eastAsia="Times New Roman"/>
                          <w:color w:val="000000"/>
                        </w:rPr>
                        <w:t xml:space="preserve"> horse and rider combinations which fail to reach the</w:t>
                      </w:r>
                      <w:r w:rsidR="008F1514">
                        <w:rPr>
                          <w:rFonts w:eastAsia="Times New Roman"/>
                          <w:color w:val="000000"/>
                        </w:rPr>
                        <w:t xml:space="preserve">    </w:t>
                      </w:r>
                      <w:r>
                        <w:rPr>
                          <w:rFonts w:eastAsia="Times New Roman"/>
                          <w:color w:val="000000"/>
                        </w:rPr>
                        <w:t xml:space="preserve"> required number of points due to unforeseen and tragic circumstances may be made under this category. There must be a reasonable expectation that achievement of the required number of </w:t>
                      </w:r>
                      <w:r w:rsidR="008F1514">
                        <w:rPr>
                          <w:rFonts w:eastAsia="Times New Roman"/>
                          <w:color w:val="000000"/>
                        </w:rPr>
                        <w:t xml:space="preserve">      </w:t>
                      </w:r>
                      <w:r>
                        <w:rPr>
                          <w:rFonts w:eastAsia="Times New Roman"/>
                          <w:color w:val="000000"/>
                        </w:rPr>
                        <w:t>points was imminent.</w:t>
                      </w:r>
                    </w:p>
                    <w:p w14:paraId="28007422" w14:textId="77777777" w:rsidR="008A1537" w:rsidRDefault="008A1537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i/>
                          <w:iCs/>
                          <w:color w:val="000000"/>
                        </w:rPr>
                        <w:t>Rationale: Administrative – parts of current rule requirements outdated</w:t>
                      </w:r>
                    </w:p>
                    <w:p w14:paraId="583761A4" w14:textId="77777777" w:rsidR="00D24F25" w:rsidRDefault="00D24F25" w:rsidP="008A1537">
                      <w:pPr>
                        <w:ind w:left="720"/>
                        <w:rPr>
                          <w:rFonts w:eastAsia="Times New Roman"/>
                          <w:b/>
                          <w:bCs/>
                          <w:color w:val="000000"/>
                        </w:rPr>
                      </w:pPr>
                    </w:p>
                    <w:p w14:paraId="347414EB" w14:textId="406BCEA9" w:rsidR="008A1537" w:rsidRPr="00F53904" w:rsidRDefault="00F53904" w:rsidP="00F53904">
                      <w:pPr>
                        <w:tabs>
                          <w:tab w:val="left" w:pos="10551"/>
                        </w:tabs>
                        <w:spacing w:before="215"/>
                        <w:ind w:left="7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hd w:val="clear" w:color="auto" w:fill="006FC0"/>
                        </w:rPr>
                        <w:t xml:space="preserve">      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006FC0"/>
                        </w:rPr>
                        <w:t>Event Rules</w:t>
                      </w:r>
                      <w:r>
                        <w:rPr>
                          <w:b/>
                          <w:color w:val="FFFFFF"/>
                          <w:sz w:val="28"/>
                          <w:shd w:val="clear" w:color="auto" w:fill="006FC0"/>
                        </w:rPr>
                        <w:tab/>
                      </w:r>
                    </w:p>
                    <w:p w14:paraId="0C1566E0" w14:textId="77777777" w:rsidR="00D24F25" w:rsidRDefault="00D24F25" w:rsidP="008A1537">
                      <w:pPr>
                        <w:ind w:left="720"/>
                        <w:rPr>
                          <w:rFonts w:eastAsia="Times New Roman"/>
                          <w:b/>
                          <w:bCs/>
                          <w:color w:val="000000"/>
                        </w:rPr>
                      </w:pPr>
                    </w:p>
                    <w:p w14:paraId="645349AB" w14:textId="5FA9B1C3" w:rsidR="008A1537" w:rsidRDefault="008A1537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Delete Rule 37.8</w:t>
                      </w:r>
                      <w:r>
                        <w:rPr>
                          <w:rFonts w:eastAsia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(d)</w:t>
                      </w:r>
                      <w:r>
                        <w:rPr>
                          <w:rFonts w:eastAsia="Times New Roman"/>
                          <w:color w:val="000000"/>
                        </w:rPr>
                        <w:t xml:space="preserve"> </w:t>
                      </w:r>
                    </w:p>
                    <w:p w14:paraId="6F7D83F5" w14:textId="77777777" w:rsidR="007940A3" w:rsidRDefault="007940A3" w:rsidP="008A1537">
                      <w:pPr>
                        <w:ind w:left="720"/>
                        <w:rPr>
                          <w:rFonts w:eastAsia="Times New Roman"/>
                          <w:b/>
                          <w:bCs/>
                          <w:color w:val="000000"/>
                        </w:rPr>
                      </w:pPr>
                    </w:p>
                    <w:p w14:paraId="6A3E1E34" w14:textId="1DF8DE86" w:rsidR="008A1537" w:rsidRDefault="008A1537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Add New Rule 37.8.1</w:t>
                      </w:r>
                    </w:p>
                    <w:p w14:paraId="6C199F1C" w14:textId="1C546F14" w:rsidR="008A1537" w:rsidRDefault="008A1537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 xml:space="preserve">If a vet is present at an event, the ground jury may request a spot vet check at any time before, during or </w:t>
                      </w:r>
                      <w:r w:rsidR="008F1514">
                        <w:rPr>
                          <w:rFonts w:eastAsia="Times New Roman"/>
                          <w:color w:val="000000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</w:rPr>
                        <w:t>after a combination has taken part in the event.</w:t>
                      </w:r>
                    </w:p>
                    <w:p w14:paraId="2DF9D66E" w14:textId="77777777" w:rsidR="008A1537" w:rsidRDefault="008A1537" w:rsidP="008A1537">
                      <w:pPr>
                        <w:ind w:left="720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Rationale: Welfare/Clarification</w:t>
                      </w:r>
                    </w:p>
                    <w:p w14:paraId="0E77656A" w14:textId="77777777" w:rsidR="008A1537" w:rsidRDefault="008A1537" w:rsidP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  <w:p w14:paraId="10103711" w14:textId="77777777" w:rsidR="008A1537" w:rsidRDefault="008A1537" w:rsidP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  <w:p w14:paraId="50BEF195" w14:textId="77777777" w:rsidR="008A1537" w:rsidRDefault="008A1537" w:rsidP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  <w:p w14:paraId="5C854D81" w14:textId="77777777" w:rsidR="008A1537" w:rsidRDefault="008A1537" w:rsidP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  <w:p w14:paraId="42A142D9" w14:textId="77777777" w:rsidR="008A1537" w:rsidRDefault="008A1537" w:rsidP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  <w:p w14:paraId="5581BDE0" w14:textId="77777777" w:rsidR="008A1537" w:rsidRDefault="008A1537" w:rsidP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  <w:p w14:paraId="4DA4AEDE" w14:textId="77777777" w:rsidR="008A1537" w:rsidRDefault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  <w:p w14:paraId="302E100C" w14:textId="77777777" w:rsidR="008A1537" w:rsidRDefault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  <w:p w14:paraId="62C30BA9" w14:textId="77777777" w:rsidR="008A1537" w:rsidRDefault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  <w:p w14:paraId="670F0FFA" w14:textId="77777777" w:rsidR="008A1537" w:rsidRDefault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  <w:p w14:paraId="3185D5CA" w14:textId="77777777" w:rsidR="008A1537" w:rsidRDefault="008A1537">
                      <w:pPr>
                        <w:spacing w:before="79"/>
                        <w:ind w:left="103"/>
                        <w:rPr>
                          <w:b/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67E7D" w14:textId="63E5A62D" w:rsidR="00330EC3" w:rsidRDefault="00330EC3" w:rsidP="00A62664">
      <w:pPr>
        <w:pStyle w:val="Heading2"/>
        <w:tabs>
          <w:tab w:val="left" w:pos="10567"/>
        </w:tabs>
        <w:spacing w:before="0"/>
        <w:ind w:left="0"/>
        <w:rPr>
          <w:b w:val="0"/>
        </w:rPr>
      </w:pPr>
    </w:p>
    <w:sectPr w:rsidR="00330EC3" w:rsidSect="00593EF2">
      <w:type w:val="continuous"/>
      <w:pgSz w:w="11910" w:h="16840"/>
      <w:pgMar w:top="7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AF4"/>
    <w:multiLevelType w:val="hybridMultilevel"/>
    <w:tmpl w:val="ABD463D6"/>
    <w:lvl w:ilvl="0" w:tplc="9AD6941A">
      <w:start w:val="13"/>
      <w:numFmt w:val="decimal"/>
      <w:lvlText w:val="%1."/>
      <w:lvlJc w:val="left"/>
      <w:pPr>
        <w:ind w:left="446" w:hanging="343"/>
      </w:pPr>
      <w:rPr>
        <w:rFonts w:ascii="Calibri" w:eastAsia="Calibri" w:hAnsi="Calibri" w:cs="Calibri" w:hint="default"/>
        <w:b w:val="0"/>
        <w:bCs w:val="0"/>
        <w:i w:val="0"/>
        <w:iCs w:val="0"/>
        <w:color w:val="232323"/>
        <w:spacing w:val="-1"/>
        <w:w w:val="105"/>
        <w:sz w:val="22"/>
        <w:szCs w:val="22"/>
        <w:lang w:val="en-US" w:eastAsia="en-US" w:bidi="ar-SA"/>
      </w:rPr>
    </w:lvl>
    <w:lvl w:ilvl="1" w:tplc="3E7C985C">
      <w:numFmt w:val="bullet"/>
      <w:lvlText w:val="•"/>
      <w:lvlJc w:val="left"/>
      <w:pPr>
        <w:ind w:left="1458" w:hanging="343"/>
      </w:pPr>
      <w:rPr>
        <w:rFonts w:hint="default"/>
        <w:lang w:val="en-US" w:eastAsia="en-US" w:bidi="ar-SA"/>
      </w:rPr>
    </w:lvl>
    <w:lvl w:ilvl="2" w:tplc="6E701F62">
      <w:numFmt w:val="bullet"/>
      <w:lvlText w:val="•"/>
      <w:lvlJc w:val="left"/>
      <w:pPr>
        <w:ind w:left="2476" w:hanging="343"/>
      </w:pPr>
      <w:rPr>
        <w:rFonts w:hint="default"/>
        <w:lang w:val="en-US" w:eastAsia="en-US" w:bidi="ar-SA"/>
      </w:rPr>
    </w:lvl>
    <w:lvl w:ilvl="3" w:tplc="4620CBBE">
      <w:numFmt w:val="bullet"/>
      <w:lvlText w:val="•"/>
      <w:lvlJc w:val="left"/>
      <w:pPr>
        <w:ind w:left="3495" w:hanging="343"/>
      </w:pPr>
      <w:rPr>
        <w:rFonts w:hint="default"/>
        <w:lang w:val="en-US" w:eastAsia="en-US" w:bidi="ar-SA"/>
      </w:rPr>
    </w:lvl>
    <w:lvl w:ilvl="4" w:tplc="B694E848">
      <w:numFmt w:val="bullet"/>
      <w:lvlText w:val="•"/>
      <w:lvlJc w:val="left"/>
      <w:pPr>
        <w:ind w:left="4513" w:hanging="343"/>
      </w:pPr>
      <w:rPr>
        <w:rFonts w:hint="default"/>
        <w:lang w:val="en-US" w:eastAsia="en-US" w:bidi="ar-SA"/>
      </w:rPr>
    </w:lvl>
    <w:lvl w:ilvl="5" w:tplc="C902FC58">
      <w:numFmt w:val="bullet"/>
      <w:lvlText w:val="•"/>
      <w:lvlJc w:val="left"/>
      <w:pPr>
        <w:ind w:left="5531" w:hanging="343"/>
      </w:pPr>
      <w:rPr>
        <w:rFonts w:hint="default"/>
        <w:lang w:val="en-US" w:eastAsia="en-US" w:bidi="ar-SA"/>
      </w:rPr>
    </w:lvl>
    <w:lvl w:ilvl="6" w:tplc="6BFC1BDC">
      <w:numFmt w:val="bullet"/>
      <w:lvlText w:val="•"/>
      <w:lvlJc w:val="left"/>
      <w:pPr>
        <w:ind w:left="6550" w:hanging="343"/>
      </w:pPr>
      <w:rPr>
        <w:rFonts w:hint="default"/>
        <w:lang w:val="en-US" w:eastAsia="en-US" w:bidi="ar-SA"/>
      </w:rPr>
    </w:lvl>
    <w:lvl w:ilvl="7" w:tplc="4F12EA9C">
      <w:numFmt w:val="bullet"/>
      <w:lvlText w:val="•"/>
      <w:lvlJc w:val="left"/>
      <w:pPr>
        <w:ind w:left="7568" w:hanging="343"/>
      </w:pPr>
      <w:rPr>
        <w:rFonts w:hint="default"/>
        <w:lang w:val="en-US" w:eastAsia="en-US" w:bidi="ar-SA"/>
      </w:rPr>
    </w:lvl>
    <w:lvl w:ilvl="8" w:tplc="E9FAAC18">
      <w:numFmt w:val="bullet"/>
      <w:lvlText w:val="•"/>
      <w:lvlJc w:val="left"/>
      <w:pPr>
        <w:ind w:left="8586" w:hanging="343"/>
      </w:pPr>
      <w:rPr>
        <w:rFonts w:hint="default"/>
        <w:lang w:val="en-US" w:eastAsia="en-US" w:bidi="ar-SA"/>
      </w:rPr>
    </w:lvl>
  </w:abstractNum>
  <w:abstractNum w:abstractNumId="1" w15:restartNumberingAfterBreak="0">
    <w:nsid w:val="3CB36D91"/>
    <w:multiLevelType w:val="multilevel"/>
    <w:tmpl w:val="4694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02773"/>
    <w:multiLevelType w:val="multilevel"/>
    <w:tmpl w:val="E03AB42E"/>
    <w:lvl w:ilvl="0">
      <w:start w:val="30"/>
      <w:numFmt w:val="decimal"/>
      <w:lvlText w:val="%1."/>
      <w:lvlJc w:val="left"/>
      <w:pPr>
        <w:ind w:left="450" w:hanging="346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4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89" w:hanging="4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8" w:hanging="4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7" w:hanging="4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7" w:hanging="4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6" w:hanging="4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5" w:hanging="4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460"/>
      </w:pPr>
      <w:rPr>
        <w:rFonts w:hint="default"/>
        <w:lang w:val="en-US" w:eastAsia="en-US" w:bidi="ar-SA"/>
      </w:rPr>
    </w:lvl>
  </w:abstractNum>
  <w:num w:numId="1" w16cid:durableId="478226836">
    <w:abstractNumId w:val="0"/>
  </w:num>
  <w:num w:numId="2" w16cid:durableId="1146363056">
    <w:abstractNumId w:val="2"/>
  </w:num>
  <w:num w:numId="3" w16cid:durableId="8472081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EC3"/>
    <w:rsid w:val="000622A4"/>
    <w:rsid w:val="000C4B2B"/>
    <w:rsid w:val="0018221B"/>
    <w:rsid w:val="00182A08"/>
    <w:rsid w:val="00303E25"/>
    <w:rsid w:val="00330EC3"/>
    <w:rsid w:val="00593EF2"/>
    <w:rsid w:val="00734337"/>
    <w:rsid w:val="00752E06"/>
    <w:rsid w:val="00790497"/>
    <w:rsid w:val="007940A3"/>
    <w:rsid w:val="00796E4C"/>
    <w:rsid w:val="0082442B"/>
    <w:rsid w:val="008848FA"/>
    <w:rsid w:val="008A1537"/>
    <w:rsid w:val="008F1514"/>
    <w:rsid w:val="00915061"/>
    <w:rsid w:val="00952524"/>
    <w:rsid w:val="00A62664"/>
    <w:rsid w:val="00B52BF5"/>
    <w:rsid w:val="00BF7136"/>
    <w:rsid w:val="00C00122"/>
    <w:rsid w:val="00CF37A5"/>
    <w:rsid w:val="00D24F25"/>
    <w:rsid w:val="00DE4AA1"/>
    <w:rsid w:val="00E05818"/>
    <w:rsid w:val="00E50500"/>
    <w:rsid w:val="00F22F91"/>
    <w:rsid w:val="00F5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7E53"/>
  <w15:docId w15:val="{E36F1A49-25E5-48A2-823C-BE5C2304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445" w:firstLine="17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57"/>
      <w:ind w:left="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79"/>
      <w:ind w:left="10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B292C01C1F64B82AD80AC63E2CCE3" ma:contentTypeVersion="12" ma:contentTypeDescription="Create a new document." ma:contentTypeScope="" ma:versionID="91f12e7cce09f5802a8e2f47b94c5d9f">
  <xsd:schema xmlns:xsd="http://www.w3.org/2001/XMLSchema" xmlns:xs="http://www.w3.org/2001/XMLSchema" xmlns:p="http://schemas.microsoft.com/office/2006/metadata/properties" xmlns:ns2="d35064df-88d6-43aa-a667-acd31bc8b9eb" xmlns:ns3="784a519f-5bb3-4864-8a4f-bbab8affcb3a" targetNamespace="http://schemas.microsoft.com/office/2006/metadata/properties" ma:root="true" ma:fieldsID="7629c91c76e14b804a35527afd46bb2c" ns2:_="" ns3:_="">
    <xsd:import namespace="d35064df-88d6-43aa-a667-acd31bc8b9eb"/>
    <xsd:import namespace="784a519f-5bb3-4864-8a4f-bbab8affcb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064df-88d6-43aa-a667-acd31bc8b9e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cb69c9a-8a93-413d-80c9-4d8856739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519f-5bb3-4864-8a4f-bbab8affcb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8b35556-c8c6-4abd-8704-7a1afa3b4e20}" ma:internalName="TaxCatchAll" ma:showField="CatchAllData" ma:web="784a519f-5bb3-4864-8a4f-bbab8affc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a519f-5bb3-4864-8a4f-bbab8affcb3a" xsi:nil="true"/>
    <lcf76f155ced4ddcb4097134ff3c332f xmlns="d35064df-88d6-43aa-a667-acd31bc8b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A74AEE-C02D-44BF-9EA3-B40BD352D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064df-88d6-43aa-a667-acd31bc8b9eb"/>
    <ds:schemaRef ds:uri="784a519f-5bb3-4864-8a4f-bbab8affc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0417C-6DA6-4220-AB79-14DC2E98D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78E05-209A-4ADA-B2CB-27463A2BB892}">
  <ds:schemaRefs>
    <ds:schemaRef ds:uri="http://schemas.microsoft.com/office/2006/metadata/properties"/>
    <ds:schemaRef ds:uri="http://schemas.microsoft.com/office/infopath/2007/PartnerControls"/>
    <ds:schemaRef ds:uri="784a519f-5bb3-4864-8a4f-bbab8affcb3a"/>
    <ds:schemaRef ds:uri="d35064df-88d6-43aa-a667-acd31bc8b9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Mizzi</dc:creator>
  <cp:lastModifiedBy>Emily Bannister</cp:lastModifiedBy>
  <cp:revision>27</cp:revision>
  <dcterms:created xsi:type="dcterms:W3CDTF">2026-03-19T22:23:00Z</dcterms:created>
  <dcterms:modified xsi:type="dcterms:W3CDTF">2026-03-19T22:44:00Z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0x010100FEBB292C01C1F64B82AD80AC63E2CCE3</vt:lpwstr>
  </property>
  <property fmtid="{D5CDD505-2E9C-101B-9397-08002B2CF9AE}" pid="7" name="MediaServiceImageTags">
    <vt:lpwstr/>
  </property>
</Properties>
</file>